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bidi w:val="0"/>
        <w:spacing w:line="240" w:lineRule="auto"/>
        <w:ind w:left="0" w:right="0" w:firstLine="0"/>
        <w:jc w:val="right"/>
        <w:rPr>
          <w:rFonts w:ascii="IBM Plex Sans Regular" w:cs="IBM Plex Sans Regular" w:hAnsi="IBM Plex Sans Regular" w:eastAsia="IBM Plex Sans Regular"/>
          <w:sz w:val="18"/>
          <w:szCs w:val="18"/>
          <w:rtl w:val="0"/>
        </w:rPr>
      </w:pPr>
      <w:r>
        <w:rPr>
          <w:rFonts w:ascii="IBM Plex Sans Regular" w:hAnsi="IBM Plex Sans Regular"/>
          <w:sz w:val="20"/>
          <w:szCs w:val="20"/>
          <w:rtl w:val="0"/>
          <w:lang w:val="en-US"/>
        </w:rPr>
        <w:t>Meie: 05.08.2024 nr 7-1/90/2024</w:t>
      </w:r>
    </w:p>
    <w:p>
      <w:pPr>
        <w:pStyle w:val="Normal.0"/>
        <w:bidi w:val="0"/>
        <w:spacing w:line="240" w:lineRule="auto"/>
        <w:ind w:left="0" w:right="0" w:firstLine="0"/>
        <w:jc w:val="left"/>
        <w:rPr>
          <w:rFonts w:ascii="IBM Plex Sans Regular" w:cs="IBM Plex Sans Regular" w:hAnsi="IBM Plex Sans Regular" w:eastAsia="IBM Plex Sans Regular"/>
          <w:outline w:val="0"/>
          <w:color w:val="202020"/>
          <w:sz w:val="18"/>
          <w:szCs w:val="18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Normal.0"/>
        <w:bidi w:val="0"/>
        <w:spacing w:line="240" w:lineRule="auto"/>
        <w:ind w:left="0" w:right="0" w:firstLine="0"/>
        <w:jc w:val="left"/>
        <w:rPr>
          <w:rFonts w:ascii="IBM Plex Sans Regular" w:cs="IBM Plex Sans Regular" w:hAnsi="IBM Plex Sans Regular" w:eastAsia="IBM Plex Sans Regular"/>
          <w:outline w:val="0"/>
          <w:color w:val="202020"/>
          <w:sz w:val="18"/>
          <w:szCs w:val="18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Normal.0"/>
        <w:bidi w:val="0"/>
        <w:spacing w:line="240" w:lineRule="auto"/>
        <w:ind w:left="0" w:right="0" w:firstLine="0"/>
        <w:jc w:val="left"/>
        <w:rPr>
          <w:rFonts w:ascii="IBM Plex Sans Regular" w:cs="IBM Plex Sans Regular" w:hAnsi="IBM Plex Sans Regular" w:eastAsia="IBM Plex Sans Regular"/>
          <w:outline w:val="0"/>
          <w:color w:val="202020"/>
          <w:sz w:val="18"/>
          <w:szCs w:val="18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Normal.0"/>
        <w:bidi w:val="0"/>
        <w:spacing w:line="240" w:lineRule="auto"/>
        <w:ind w:left="0" w:right="0" w:firstLine="0"/>
        <w:jc w:val="left"/>
        <w:rPr>
          <w:rFonts w:ascii="IBM Plex Sans Regular" w:cs="IBM Plex Sans Regular" w:hAnsi="IBM Plex Sans Regular" w:eastAsia="IBM Plex Sans Regular"/>
          <w:outline w:val="0"/>
          <w:color w:val="202020"/>
          <w:sz w:val="18"/>
          <w:szCs w:val="18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</w:p>
    <w:p>
      <w:pPr>
        <w:pStyle w:val="Normal.0"/>
        <w:bidi w:val="0"/>
        <w:spacing w:line="240" w:lineRule="auto"/>
        <w:ind w:left="0" w:right="0" w:firstLine="0"/>
        <w:jc w:val="left"/>
        <w:rPr>
          <w:rFonts w:ascii="IBM Plex Sans Regular" w:cs="IBM Plex Sans Regular" w:hAnsi="IBM Plex Sans Regular" w:eastAsia="IBM Plex Sans Regular"/>
          <w:outline w:val="0"/>
          <w:color w:val="202020"/>
          <w:sz w:val="20"/>
          <w:szCs w:val="20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</w:pPr>
      <w:r>
        <w:rPr>
          <w:rFonts w:ascii="IBM Plex Sans Regular" w:hAnsi="IBM Plex Sans Regular"/>
          <w:outline w:val="0"/>
          <w:color w:val="202020"/>
          <w:sz w:val="20"/>
          <w:szCs w:val="20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Transpordiamet  </w:t>
      </w:r>
    </w:p>
    <w:p>
      <w:pPr>
        <w:pStyle w:val="Normal.0"/>
        <w:bidi w:val="0"/>
        <w:spacing w:line="240" w:lineRule="auto"/>
        <w:ind w:left="0" w:right="0" w:firstLine="0"/>
        <w:jc w:val="left"/>
        <w:rPr>
          <w:rFonts w:ascii="IBM Plex Sans Regular" w:cs="IBM Plex Sans Regular" w:hAnsi="IBM Plex Sans Regular" w:eastAsia="IBM Plex Sans Regular"/>
          <w:sz w:val="18"/>
          <w:szCs w:val="18"/>
          <w:rtl w:val="0"/>
        </w:rPr>
      </w:pPr>
      <w:r>
        <w:rPr>
          <w:rFonts w:ascii="IBM Plex Sans Regular" w:hAnsi="IBM Plex Sans Regular"/>
          <w:outline w:val="0"/>
          <w:color w:val="202020"/>
          <w:sz w:val="20"/>
          <w:szCs w:val="20"/>
          <w:u w:color="202020"/>
          <w:shd w:val="clear" w:color="auto" w:fill="ffffff"/>
          <w:rtl w:val="0"/>
          <w:lang w:val="pt-PT"/>
          <w14:textFill>
            <w14:solidFill>
              <w14:srgbClr w14:val="202020"/>
            </w14:solidFill>
          </w14:textFill>
        </w:rPr>
        <w:t>info@transpordiamet.ee</w:t>
      </w:r>
    </w:p>
    <w:p>
      <w:pPr>
        <w:pStyle w:val="Normal.0"/>
        <w:spacing w:line="240" w:lineRule="auto"/>
        <w:ind w:right="0"/>
        <w:rPr>
          <w:rFonts w:ascii="IBM Plex Sans Bold" w:cs="IBM Plex Sans Bold" w:hAnsi="IBM Plex Sans Bold" w:eastAsia="IBM Plex Sans Bold"/>
          <w:sz w:val="18"/>
          <w:szCs w:val="18"/>
        </w:rPr>
      </w:pPr>
    </w:p>
    <w:p>
      <w:pPr>
        <w:pStyle w:val="Normal.0"/>
        <w:spacing w:line="240" w:lineRule="auto"/>
        <w:ind w:right="0"/>
        <w:rPr>
          <w:rFonts w:ascii="IBM Plex Sans Bold" w:cs="IBM Plex Sans Bold" w:hAnsi="IBM Plex Sans Bold" w:eastAsia="IBM Plex Sans Bold"/>
          <w:sz w:val="18"/>
          <w:szCs w:val="18"/>
        </w:rPr>
      </w:pPr>
    </w:p>
    <w:p>
      <w:pPr>
        <w:pStyle w:val="Normal.0"/>
        <w:spacing w:line="240" w:lineRule="auto"/>
        <w:ind w:right="0"/>
        <w:rPr>
          <w:rFonts w:ascii="IBM Plex Sans Bold" w:cs="IBM Plex Sans Bold" w:hAnsi="IBM Plex Sans Bold" w:eastAsia="IBM Plex Sans Bold"/>
          <w:sz w:val="18"/>
          <w:szCs w:val="18"/>
        </w:rPr>
      </w:pPr>
    </w:p>
    <w:p>
      <w:pPr>
        <w:pStyle w:val="Normal.0"/>
        <w:spacing w:line="240" w:lineRule="auto"/>
        <w:ind w:right="0"/>
        <w:rPr>
          <w:rFonts w:ascii="IBM Plex Sans Bold" w:cs="IBM Plex Sans Bold" w:hAnsi="IBM Plex Sans Bold" w:eastAsia="IBM Plex Sans Bold"/>
          <w:sz w:val="18"/>
          <w:szCs w:val="18"/>
        </w:rPr>
      </w:pPr>
    </w:p>
    <w:p>
      <w:pPr>
        <w:pStyle w:val="Normal.0"/>
        <w:spacing w:line="240" w:lineRule="auto"/>
        <w:ind w:right="0"/>
        <w:rPr>
          <w:rFonts w:ascii="IBM Plex Sans Bold" w:cs="IBM Plex Sans Bold" w:hAnsi="IBM Plex Sans Bold" w:eastAsia="IBM Plex Sans Bold"/>
          <w:sz w:val="18"/>
          <w:szCs w:val="18"/>
        </w:rPr>
      </w:pPr>
    </w:p>
    <w:p>
      <w:pPr>
        <w:pStyle w:val="Normal.0"/>
        <w:spacing w:line="240" w:lineRule="auto"/>
        <w:ind w:right="0"/>
        <w:rPr>
          <w:rFonts w:ascii="IBM Plex Sans Bold" w:cs="IBM Plex Sans Bold" w:hAnsi="IBM Plex Sans Bold" w:eastAsia="IBM Plex Sans Bold"/>
          <w:sz w:val="18"/>
          <w:szCs w:val="18"/>
        </w:rPr>
      </w:pPr>
    </w:p>
    <w:p>
      <w:pPr>
        <w:pStyle w:val="Normal.0"/>
        <w:spacing w:line="240" w:lineRule="auto"/>
        <w:ind w:right="0"/>
        <w:rPr>
          <w:rFonts w:ascii="IBM Plex Sans Bold" w:cs="IBM Plex Sans Bold" w:hAnsi="IBM Plex Sans Bold" w:eastAsia="IBM Plex Sans Bold"/>
          <w:sz w:val="20"/>
          <w:szCs w:val="20"/>
        </w:rPr>
      </w:pPr>
      <w:r>
        <w:rPr>
          <w:rFonts w:ascii="IBM Plex Sans Bold" w:hAnsi="IBM Plex Sans Bold"/>
          <w:outline w:val="0"/>
          <w:color w:val="202020"/>
          <w:sz w:val="20"/>
          <w:szCs w:val="20"/>
          <w:u w:color="202020"/>
          <w:shd w:val="clear" w:color="auto" w:fill="ffffff"/>
          <w:rtl w:val="0"/>
          <w:lang w:val="nl-NL"/>
          <w14:textFill>
            <w14:solidFill>
              <w14:srgbClr w14:val="202020"/>
            </w14:solidFill>
          </w14:textFill>
        </w:rPr>
        <w:t>Rumporanna detailplaneeringu koosk</w:t>
      </w:r>
      <w:r>
        <w:rPr>
          <w:rFonts w:ascii="IBM Plex Sans Bold" w:hAnsi="IBM Plex Sans Bold" w:hint="default"/>
          <w:outline w:val="0"/>
          <w:color w:val="202020"/>
          <w:sz w:val="20"/>
          <w:szCs w:val="20"/>
          <w:u w:color="202020"/>
          <w:shd w:val="clear" w:color="auto" w:fill="ffffff"/>
          <w:rtl w:val="0"/>
          <w:lang w:val="pt-PT"/>
          <w14:textFill>
            <w14:solidFill>
              <w14:srgbClr w14:val="202020"/>
            </w14:solidFill>
          </w14:textFill>
        </w:rPr>
        <w:t>õ</w:t>
      </w:r>
      <w:r>
        <w:rPr>
          <w:rFonts w:ascii="IBM Plex Sans Bold" w:hAnsi="IBM Plex Sans Bold"/>
          <w:outline w:val="0"/>
          <w:color w:val="202020"/>
          <w:sz w:val="20"/>
          <w:szCs w:val="20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>lastamine</w:t>
      </w: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  <w:r>
        <w:rPr>
          <w:rFonts w:ascii="IBM Plex Sans Regular" w:hAnsi="IBM Plex Sans Regular"/>
          <w:sz w:val="20"/>
          <w:szCs w:val="20"/>
          <w:rtl w:val="0"/>
          <w:lang w:val="de-DE"/>
        </w:rPr>
        <w:t>Esitame teile koosk</w:t>
      </w:r>
      <w:r>
        <w:rPr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 xml:space="preserve">lastamiseks 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>ldplaneeringut muutva Rumporanna detailplaneeringu (Argepo O</w:t>
      </w:r>
      <w:r>
        <w:rPr>
          <w:rFonts w:ascii="IBM Plex Sans Regular" w:hAnsi="IBM Plex Sans Regular" w:hint="default"/>
          <w:sz w:val="20"/>
          <w:szCs w:val="20"/>
          <w:rtl w:val="0"/>
        </w:rPr>
        <w:t xml:space="preserve">Ü </w:t>
      </w:r>
      <w:r>
        <w:rPr>
          <w:rFonts w:ascii="IBM Plex Sans Regular" w:hAnsi="IBM Plex Sans Regular"/>
          <w:sz w:val="20"/>
          <w:szCs w:val="20"/>
          <w:rtl w:val="0"/>
        </w:rPr>
        <w:t>t</w:t>
      </w:r>
      <w:r>
        <w:rPr>
          <w:rFonts w:ascii="IBM Plex Sans Regular" w:hAnsi="IBM Plex Sans Regular" w:hint="default"/>
          <w:sz w:val="20"/>
          <w:szCs w:val="20"/>
          <w:rtl w:val="0"/>
        </w:rPr>
        <w:t xml:space="preserve">öö </w:t>
      </w:r>
      <w:r>
        <w:rPr>
          <w:rFonts w:ascii="IBM Plex Sans Regular" w:hAnsi="IBM Plex Sans Regular"/>
          <w:sz w:val="20"/>
          <w:szCs w:val="20"/>
          <w:rtl w:val="0"/>
        </w:rPr>
        <w:t>nr A-15-12) Vormsi Vallavolikogu poolt vastu v</w:t>
      </w:r>
      <w:r>
        <w:rPr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  <w:lang w:val="de-DE"/>
        </w:rPr>
        <w:t xml:space="preserve">etud lahenduse. </w:t>
      </w: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  <w:r>
        <w:rPr>
          <w:rFonts w:ascii="IBM Plex Sans Regular" w:hAnsi="IBM Plex Sans Regular"/>
          <w:sz w:val="20"/>
          <w:szCs w:val="20"/>
          <w:rtl w:val="0"/>
          <w:lang w:val="nl-NL"/>
        </w:rPr>
        <w:t xml:space="preserve">Rumporanna detailplaneering on algatatud Vormsi Vallavolikogu 27. veebruari 2012. a </w:t>
      </w:r>
      <w:r>
        <w:rPr>
          <w:rStyle w:val="Hyperlink.1"/>
          <w:rFonts w:ascii="IBM Plex Sans Regular" w:cs="IBM Plex Sans Regular" w:hAnsi="IBM Plex Sans Regular" w:eastAsia="IBM Plex Sans Regular"/>
          <w:sz w:val="20"/>
          <w:szCs w:val="20"/>
        </w:rPr>
        <w:fldChar w:fldCharType="begin" w:fldLock="0"/>
      </w:r>
      <w:r>
        <w:rPr>
          <w:rStyle w:val="Hyperlink.1"/>
          <w:rFonts w:ascii="IBM Plex Sans Regular" w:cs="IBM Plex Sans Regular" w:hAnsi="IBM Plex Sans Regular" w:eastAsia="IBM Plex Sans Regular"/>
          <w:sz w:val="20"/>
          <w:szCs w:val="20"/>
        </w:rPr>
        <w:instrText xml:space="preserve"> HYPERLINK "http://atp.amphora.ee/vormsivv/?o=126&amp;o2=822&amp;u=null&amp;hdr=hp&amp;dschex=1&amp;sbr=all&amp;tbs=all&amp;dt=&amp;sbrq=Rumporanna&amp;itm=49136&amp;clr=history&amp;pageSize=20&amp;page=5"</w:instrText>
      </w:r>
      <w:r>
        <w:rPr>
          <w:rStyle w:val="Hyperlink.1"/>
          <w:rFonts w:ascii="IBM Plex Sans Regular" w:cs="IBM Plex Sans Regular" w:hAnsi="IBM Plex Sans Regular" w:eastAsia="IBM Plex Sans Regular"/>
          <w:sz w:val="20"/>
          <w:szCs w:val="20"/>
        </w:rPr>
        <w:fldChar w:fldCharType="separate" w:fldLock="0"/>
      </w:r>
      <w:r>
        <w:rPr>
          <w:rStyle w:val="Hyperlink.1"/>
          <w:rFonts w:ascii="IBM Plex Sans Regular" w:hAnsi="IBM Plex Sans Regular"/>
          <w:sz w:val="20"/>
          <w:szCs w:val="20"/>
          <w:rtl w:val="0"/>
        </w:rPr>
        <w:t>otsusega nr</w:t>
      </w:r>
      <w:r>
        <w:rPr>
          <w:rStyle w:val="Hyperlink.1"/>
          <w:rFonts w:ascii="IBM Plex Sans Regular" w:hAnsi="IBM Plex Sans Regular" w:hint="default"/>
          <w:sz w:val="20"/>
          <w:szCs w:val="20"/>
          <w:rtl w:val="0"/>
        </w:rPr>
        <w:t> </w:t>
      </w:r>
      <w:r>
        <w:rPr>
          <w:rStyle w:val="Hyperlink.1"/>
          <w:rFonts w:ascii="IBM Plex Sans Regular" w:hAnsi="IBM Plex Sans Regular"/>
          <w:sz w:val="20"/>
          <w:szCs w:val="20"/>
          <w:rtl w:val="0"/>
        </w:rPr>
        <w:t>5</w:t>
      </w:r>
      <w:r>
        <w:rPr>
          <w:rFonts w:ascii="IBM Plex Sans Regular" w:cs="IBM Plex Sans Regular" w:hAnsi="IBM Plex Sans Regular" w:eastAsia="IBM Plex Sans Regular"/>
          <w:sz w:val="20"/>
          <w:szCs w:val="20"/>
        </w:rPr>
        <w:fldChar w:fldCharType="end" w:fldLock="0"/>
      </w:r>
      <w:r>
        <w:rPr>
          <w:rFonts w:ascii="IBM Plex Sans Regular" w:hAnsi="IBM Plex Sans Regular"/>
          <w:sz w:val="20"/>
          <w:szCs w:val="20"/>
          <w:rtl w:val="0"/>
        </w:rPr>
        <w:t>. Planeeringut menetletakse vastavalt planeeringu algatamise ajal kehtinud planeerimisseaduse redaktsioonile (l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de-DE"/>
        </w:rPr>
        <w:t xml:space="preserve">htudes EhSRS </w:t>
      </w:r>
      <w:r>
        <w:rPr>
          <w:rFonts w:ascii="IBM Plex Sans Regular" w:hAnsi="IBM Plex Sans Regular" w:hint="default"/>
          <w:sz w:val="20"/>
          <w:szCs w:val="20"/>
          <w:rtl w:val="0"/>
        </w:rPr>
        <w:t xml:space="preserve">§ 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ru-RU"/>
        </w:rPr>
        <w:t>1 l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ikest 1).</w:t>
      </w: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  <w:r>
        <w:rPr>
          <w:rFonts w:ascii="IBM Plex Sans Regular" w:hAnsi="IBM Plex Sans Regular"/>
          <w:sz w:val="20"/>
          <w:szCs w:val="20"/>
          <w:rtl w:val="0"/>
          <w:lang w:val="it-IT"/>
        </w:rPr>
        <w:t>Planeeringuala asub L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nl-NL"/>
        </w:rPr>
        <w:t>nemaal Vormsi vallas Rumpo k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>las. Planeeringuala, suurusega 8,6 ha, on Rumpo k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 xml:space="preserve">las asuv Vormsi Vallavalitsusele kuuluv 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>ldkasutatava maa sihtotstarbega Rumporanna kinnistu (90701:002:0335, 7,87 ha) ning V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inameres asuvad muul ja kaks sadamakanalit. Kinnistu on hoonestamata. Planeeringualal on puhkekoht, sadamaauk ja lauter, pr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>gimaja ja bussiootepaviljon. Piirnevalt Rumpo vallateelt on kolm pinnasekattega mahas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 xml:space="preserve">itu. </w:t>
      </w: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  <w:r>
        <w:rPr>
          <w:rStyle w:val="None"/>
          <w:rFonts w:ascii="IBM Plex Sans Regular" w:hAnsi="IBM Plex Sans Regular"/>
          <w:sz w:val="20"/>
          <w:szCs w:val="20"/>
          <w:rtl w:val="0"/>
          <w:lang w:val="nl-NL"/>
        </w:rPr>
        <w:t>Detailplaneeringu eesm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rgiks on m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Fonts w:ascii="IBM Plex Sans Regular" w:hAnsi="IBM Plex Sans Regular"/>
          <w:sz w:val="20"/>
          <w:szCs w:val="20"/>
          <w:rtl w:val="0"/>
        </w:rPr>
        <w:t>rata hoonestusala, ehitus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igus ja ehituslikud tingimused v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rgukuuride ja k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imla rajamiseks ehitisealuse pinnaga kokku 60 m</w:t>
      </w:r>
      <w:r>
        <w:rPr>
          <w:rStyle w:val="None"/>
          <w:rFonts w:ascii="IBM Plex Sans Regular" w:hAnsi="IBM Plex Sans Regular"/>
          <w:sz w:val="20"/>
          <w:szCs w:val="20"/>
          <w:vertAlign w:val="superscript"/>
          <w:rtl w:val="0"/>
        </w:rPr>
        <w:t>2</w:t>
      </w:r>
      <w:r>
        <w:rPr>
          <w:rFonts w:ascii="IBM Plex Sans Regular" w:hAnsi="IBM Plex Sans Regular"/>
          <w:sz w:val="20"/>
          <w:szCs w:val="20"/>
          <w:rtl w:val="0"/>
        </w:rPr>
        <w:t xml:space="preserve"> ja k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 xml:space="preserve">rgusega kuni 5 m. Samuti rajada 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>hiskasutusega ala ja m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Fonts w:ascii="IBM Plex Sans Regular" w:hAnsi="IBM Plex Sans Regular"/>
          <w:sz w:val="20"/>
          <w:szCs w:val="20"/>
          <w:rtl w:val="0"/>
        </w:rPr>
        <w:t>rata teisaldatavate laudade ja pinkide asukohad, m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Fonts w:ascii="IBM Plex Sans Regular" w:hAnsi="IBM Plex Sans Regular"/>
          <w:sz w:val="20"/>
          <w:szCs w:val="20"/>
          <w:rtl w:val="0"/>
        </w:rPr>
        <w:t>rata liikluskeem ja parklate asukohad, rajada slipp, m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Fonts w:ascii="IBM Plex Sans Regular" w:hAnsi="IBM Plex Sans Regular"/>
          <w:sz w:val="20"/>
          <w:szCs w:val="20"/>
          <w:rtl w:val="0"/>
        </w:rPr>
        <w:t>rata navigatsioonim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rkide ja teisaldatavate pontoonsildade asukohad, rekonstrueerida sadamaaugu kaldakindlustus ja muul, puhastada setetest sadamaaugu ja lautri kanalid, rajada tulet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nl-NL"/>
        </w:rPr>
        <w:t>rje veev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tukoht, rekonstrueerida olemasolevad ja rajada t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iendav juurdep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Fonts w:ascii="IBM Plex Sans Regular" w:hAnsi="IBM Plex Sans Regular"/>
          <w:sz w:val="20"/>
          <w:szCs w:val="20"/>
          <w:rtl w:val="0"/>
        </w:rPr>
        <w:t>sutee.</w:t>
      </w: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  <w:r>
        <w:rPr>
          <w:rFonts w:ascii="IBM Plex Sans Regular" w:hAnsi="IBM Plex Sans Regular"/>
          <w:sz w:val="20"/>
          <w:szCs w:val="20"/>
          <w:rtl w:val="0"/>
        </w:rPr>
        <w:t>Detailplaneeringu on koosk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lastanud P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Fonts w:ascii="IBM Plex Sans Regular" w:hAnsi="IBM Plex Sans Regular"/>
          <w:sz w:val="20"/>
          <w:szCs w:val="20"/>
          <w:rtl w:val="0"/>
        </w:rPr>
        <w:t>steamet 09.06.2015 (kiri nr 7.2-3.4/9940-2), Veeteede Amet 27.07.2015 (kiri nr 6-3-1/2377), Lennuamet 16.10.2015 (kiri nr 4.6-8/15/4383), Majandus- ja Kommunikatsiooniministeerium 12.10.15 (kiri nr 1.10-17/15-00643/007), Muinsuskaitseamet 08.10.2015 (kiri nr 5.1-17/5/12-1), Keskkonnaministeerium 30.10.2015 osas, millega kavandatakse avaliku veekogu koormamist (kiri nr 11-17/15/8648-2). Keskkonnaamet on 13.07.2017 kirjaga nr 6-2/17/8078-2 andnud tingimusliku n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usoleku detailplaneeringu vastuv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tmiseks. Politsei- ja P</w:t>
      </w:r>
      <w:r>
        <w:rPr>
          <w:rFonts w:ascii="IBM Plex Sans Regular" w:hAnsi="IBM Plex Sans Regular" w:hint="default"/>
          <w:sz w:val="20"/>
          <w:szCs w:val="20"/>
          <w:rtl w:val="0"/>
        </w:rPr>
        <w:t>ää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nl-NL"/>
        </w:rPr>
        <w:t>steamet on andnud koosk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lastuse 08.09.2022 (kiri nr 2.1-3/27639-2) Tarbijakaitse ja Tehnilise J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nl-NL"/>
        </w:rPr>
        <w:t>relevalve Amet loobus koosk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lastamisest p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devuse puudumise t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ttu 24.08.2022 (kiri nr 16-6/18-1926-003).</w:t>
      </w:r>
      <w:r>
        <w:rPr>
          <w:rFonts w:ascii="IBM Plex Sans Regular" w:cs="IBM Plex Sans Regular" w:hAnsi="IBM Plex Sans Regular" w:eastAsia="IBM Plex Sans Regular"/>
          <w:sz w:val="20"/>
          <w:szCs w:val="20"/>
        </w:rPr>
        <w:br w:type="textWrapping"/>
      </w:r>
    </w:p>
    <w:p>
      <w:pPr>
        <w:pStyle w:val="Normal.0"/>
        <w:spacing w:line="240" w:lineRule="auto"/>
        <w:ind w:right="0"/>
        <w:jc w:val="both"/>
        <w:rPr>
          <w:rFonts w:ascii="IBM Plex Sans Regular" w:cs="IBM Plex Sans Regular" w:hAnsi="IBM Plex Sans Regular" w:eastAsia="IBM Plex Sans Regular"/>
          <w:sz w:val="20"/>
          <w:szCs w:val="20"/>
        </w:rPr>
      </w:pPr>
      <w:r>
        <w:rPr>
          <w:rFonts w:ascii="IBM Plex Sans Regular" w:hAnsi="IBM Plex Sans Regular"/>
          <w:sz w:val="20"/>
          <w:szCs w:val="20"/>
          <w:rtl w:val="0"/>
        </w:rPr>
        <w:t>Vormsi Vallavolikogu v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 xml:space="preserve">ttis detailplaneeringu vastu 25.09.2017 otsusega nr 14. Vormsi valla 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 xml:space="preserve">ldplaneeringuga (kehtestatud 14.06.2004) on planeeringualale kavandatud avalik supelrand, telkimisala, sadam ja lautrikoht. 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de-DE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>ldplaneeringuga on ehituskeeluv</w:t>
      </w:r>
      <w:r>
        <w:rPr>
          <w:rFonts w:ascii="IBM Plex Sans Regular" w:hAnsi="IBM Plex Sans Regular" w:hint="default"/>
          <w:sz w:val="20"/>
          <w:szCs w:val="20"/>
          <w:rtl w:val="0"/>
        </w:rPr>
        <w:t>öö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fr-FR"/>
        </w:rPr>
        <w:t>ndit v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hendatud. Detailplaneeringuga tehakse ettepanek v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hendada ranna ehituskeeluv</w:t>
      </w:r>
      <w:r>
        <w:rPr>
          <w:rFonts w:ascii="IBM Plex Sans Regular" w:hAnsi="IBM Plex Sans Regular" w:hint="default"/>
          <w:sz w:val="20"/>
          <w:szCs w:val="20"/>
          <w:rtl w:val="0"/>
        </w:rPr>
        <w:t>öö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fr-FR"/>
        </w:rPr>
        <w:t>ndit t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iendavalt v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rgukuuride ja k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imla hoonestusala ulatuses. Keskkonnaamet on andnud n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usoleku v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  <w:lang w:val="pt-PT"/>
        </w:rPr>
        <w:t>hendada ehituskeeluv</w:t>
      </w:r>
      <w:r>
        <w:rPr>
          <w:rFonts w:ascii="IBM Plex Sans Regular" w:hAnsi="IBM Plex Sans Regular" w:hint="default"/>
          <w:sz w:val="20"/>
          <w:szCs w:val="20"/>
          <w:rtl w:val="0"/>
        </w:rPr>
        <w:t>öö</w:t>
      </w:r>
      <w:r>
        <w:rPr>
          <w:rStyle w:val="None"/>
          <w:rFonts w:ascii="IBM Plex Sans Regular" w:hAnsi="IBM Plex Sans Regular"/>
          <w:sz w:val="20"/>
          <w:szCs w:val="20"/>
          <w:rtl w:val="0"/>
          <w:lang w:val="fr-FR"/>
        </w:rPr>
        <w:t>ndit 2 v</w:t>
      </w:r>
      <w:r>
        <w:rPr>
          <w:rStyle w:val="None"/>
          <w:rFonts w:ascii="IBM Plex Sans Regular" w:hAnsi="IBM Plex Sans Regular" w:hint="default"/>
          <w:sz w:val="20"/>
          <w:szCs w:val="20"/>
          <w:rtl w:val="0"/>
          <w:lang w:val="pt-PT"/>
        </w:rPr>
        <w:t>õ</w:t>
      </w:r>
      <w:r>
        <w:rPr>
          <w:rFonts w:ascii="IBM Plex Sans Regular" w:hAnsi="IBM Plex Sans Regular"/>
          <w:sz w:val="20"/>
          <w:szCs w:val="20"/>
          <w:rtl w:val="0"/>
        </w:rPr>
        <w:t>rgukuuri ja kuivk</w:t>
      </w:r>
      <w:r>
        <w:rPr>
          <w:rFonts w:ascii="IBM Plex Sans Regular" w:hAnsi="IBM Plex Sans Regular" w:hint="default"/>
          <w:sz w:val="20"/>
          <w:szCs w:val="20"/>
          <w:rtl w:val="0"/>
        </w:rPr>
        <w:t>ä</w:t>
      </w:r>
      <w:r>
        <w:rPr>
          <w:rFonts w:ascii="IBM Plex Sans Regular" w:hAnsi="IBM Plex Sans Regular"/>
          <w:sz w:val="20"/>
          <w:szCs w:val="20"/>
          <w:rtl w:val="0"/>
        </w:rPr>
        <w:t>imla p</w:t>
      </w:r>
      <w:r>
        <w:rPr>
          <w:rFonts w:ascii="IBM Plex Sans Regular" w:hAnsi="IBM Plex Sans Regular" w:hint="default"/>
          <w:sz w:val="20"/>
          <w:szCs w:val="20"/>
          <w:rtl w:val="0"/>
        </w:rPr>
        <w:t>ü</w:t>
      </w:r>
      <w:r>
        <w:rPr>
          <w:rFonts w:ascii="IBM Plex Sans Regular" w:hAnsi="IBM Plex Sans Regular"/>
          <w:sz w:val="20"/>
          <w:szCs w:val="20"/>
          <w:rtl w:val="0"/>
        </w:rPr>
        <w:t>stitamiseks 29.01.2018 (29.01.2018 nr 7-13/17/12707-5).</w:t>
      </w:r>
    </w:p>
    <w:p>
      <w:pPr>
        <w:pStyle w:val="Normal.0"/>
        <w:spacing w:line="240" w:lineRule="auto"/>
        <w:ind w:right="0"/>
        <w:jc w:val="both"/>
        <w:rPr>
          <w:rStyle w:val="None"/>
          <w:rFonts w:ascii="IBM Plex Sans Regular" w:cs="IBM Plex Sans Regular" w:hAnsi="IBM Plex Sans Regular" w:eastAsia="IBM Plex Sans Regular"/>
          <w:sz w:val="24"/>
          <w:szCs w:val="24"/>
        </w:rPr>
      </w:pPr>
    </w:p>
    <w:p>
      <w:pPr>
        <w:pStyle w:val="Normal.0"/>
        <w:spacing w:line="240" w:lineRule="auto"/>
        <w:ind w:right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32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7"/>
      </w:tblGrid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32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right="0"/>
              <w:jc w:val="both"/>
              <w:rPr>
                <w:rStyle w:val="None"/>
                <w:rFonts w:ascii="IBM Plex Sans Regular" w:cs="IBM Plex Sans Regular" w:hAnsi="IBM Plex Sans Regular" w:eastAsia="IBM Plex Sans Regular"/>
                <w:sz w:val="20"/>
                <w:szCs w:val="20"/>
                <w:lang w:val="es-ES_tradnl"/>
              </w:rPr>
            </w:pPr>
            <w:r>
              <w:rPr>
                <w:rStyle w:val="None"/>
                <w:rFonts w:ascii="IBM Plex Sans Regular" w:hAnsi="IBM Plex Sans Regular"/>
                <w:sz w:val="20"/>
                <w:szCs w:val="20"/>
                <w:rtl w:val="0"/>
                <w:lang w:val="es-ES_tradnl"/>
              </w:rPr>
              <w:t>Lugupidamisega</w:t>
            </w:r>
          </w:p>
          <w:p>
            <w:pPr>
              <w:pStyle w:val="Normal.0"/>
              <w:spacing w:line="240" w:lineRule="auto"/>
              <w:ind w:right="0"/>
              <w:jc w:val="both"/>
              <w:rPr>
                <w:rFonts w:ascii="IBM Plex Sans Regular" w:cs="IBM Plex Sans Regular" w:hAnsi="IBM Plex Sans Regular" w:eastAsia="IBM Plex Sans Regular"/>
                <w:sz w:val="20"/>
                <w:szCs w:val="20"/>
              </w:rPr>
            </w:pPr>
          </w:p>
          <w:p>
            <w:pPr>
              <w:pStyle w:val="Normal.0"/>
              <w:spacing w:line="240" w:lineRule="auto"/>
              <w:ind w:right="0"/>
              <w:jc w:val="both"/>
              <w:rPr>
                <w:rFonts w:ascii="IBM Plex Sans Regular" w:cs="IBM Plex Sans Regular" w:hAnsi="IBM Plex Sans Regular" w:eastAsia="IBM Plex Sans Regular"/>
                <w:sz w:val="20"/>
                <w:szCs w:val="20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IBM Plex Sans Regular" w:cs="IBM Plex Sans Regular" w:hAnsi="IBM Plex Sans Regular" w:eastAsia="IBM Plex Sans Regular"/>
                <w:i w:val="1"/>
                <w:iCs w:val="1"/>
                <w:sz w:val="20"/>
                <w:szCs w:val="20"/>
                <w:rtl w:val="0"/>
              </w:rPr>
            </w:pPr>
            <w:r>
              <w:rPr>
                <w:rStyle w:val="None"/>
                <w:rFonts w:ascii="IBM Plex Sans Regular" w:hAnsi="IBM Plex Sans Regular"/>
                <w:i w:val="1"/>
                <w:iCs w:val="1"/>
                <w:sz w:val="20"/>
                <w:szCs w:val="20"/>
                <w:rtl w:val="0"/>
              </w:rPr>
              <w:t>(allkirjastatud digitaalselt)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Style w:val="None"/>
                <w:rFonts w:ascii="IBM Plex Sans Regular" w:cs="IBM Plex Sans Regular" w:hAnsi="IBM Plex Sans Regular" w:eastAsia="IBM Plex Sans Regular"/>
                <w:i w:val="1"/>
                <w:iCs w:val="1"/>
                <w:sz w:val="20"/>
                <w:szCs w:val="20"/>
                <w:rtl w:val="0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IBM Plex Sans Regular" w:cs="IBM Plex Sans Regular" w:hAnsi="IBM Plex Sans Regular" w:eastAsia="IBM Plex Sans Regular"/>
                <w:sz w:val="20"/>
                <w:szCs w:val="20"/>
                <w:rtl w:val="0"/>
              </w:rPr>
            </w:pP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Fonts w:ascii="IBM Plex Sans Regular" w:cs="IBM Plex Sans Regular" w:hAnsi="IBM Plex Sans Regular" w:eastAsia="IBM Plex Sans Regular"/>
                <w:sz w:val="20"/>
                <w:szCs w:val="20"/>
                <w:rtl w:val="0"/>
              </w:rPr>
            </w:pPr>
            <w:r>
              <w:rPr>
                <w:rStyle w:val="None"/>
                <w:rFonts w:ascii="IBM Plex Sans Regular" w:hAnsi="IBM Plex Sans Regular"/>
                <w:sz w:val="20"/>
                <w:szCs w:val="20"/>
                <w:rtl w:val="0"/>
                <w:lang w:val="fr-FR"/>
              </w:rPr>
              <w:t>Maris J</w:t>
            </w:r>
            <w:r>
              <w:rPr>
                <w:rStyle w:val="None"/>
                <w:rFonts w:ascii="IBM Plex Sans Regular" w:hAnsi="IBM Plex Sans Regular" w:hint="default"/>
                <w:sz w:val="20"/>
                <w:szCs w:val="20"/>
                <w:rtl w:val="0"/>
                <w:lang w:val="pt-PT"/>
              </w:rPr>
              <w:t>õ</w:t>
            </w:r>
            <w:r>
              <w:rPr>
                <w:rStyle w:val="None"/>
                <w:rFonts w:ascii="IBM Plex Sans Regular" w:hAnsi="IBM Plex Sans Regular"/>
                <w:sz w:val="20"/>
                <w:szCs w:val="20"/>
                <w:rtl w:val="0"/>
                <w:lang w:val="nl-NL"/>
              </w:rPr>
              <w:t>geva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IBM Plex Sans Regular" w:hAnsi="IBM Plex Sans Regular"/>
                <w:sz w:val="20"/>
                <w:szCs w:val="20"/>
                <w:rtl w:val="0"/>
              </w:rPr>
              <w:t>vallavanem</w:t>
            </w:r>
          </w:p>
        </w:tc>
      </w:tr>
    </w:tbl>
    <w:p>
      <w:pPr>
        <w:pStyle w:val="Normal.0"/>
        <w:spacing w:line="240" w:lineRule="auto"/>
        <w:ind w:right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line="240" w:lineRule="auto"/>
        <w:ind w:left="108" w:right="0" w:hanging="108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</w:p>
    <w:p>
      <w:pPr>
        <w:pStyle w:val="Sisutekst"/>
        <w:rPr>
          <w:rStyle w:val="Link"/>
          <w:outline w:val="0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</w:pPr>
    </w:p>
    <w:p>
      <w:pPr>
        <w:pStyle w:val="Sisutekst"/>
      </w:pPr>
    </w:p>
    <w:p>
      <w:pPr>
        <w:pStyle w:val="Sisutekst"/>
        <w:rPr>
          <w:rStyle w:val="Link"/>
          <w:outline w:val="0"/>
          <w:color w:val="333333"/>
          <w:u w:val="none" w:color="333333"/>
          <w14:textFill>
            <w14:solidFill>
              <w14:srgbClr w14:val="333333"/>
            </w14:solidFill>
          </w14:textFill>
        </w:rPr>
      </w:pPr>
    </w:p>
    <w:p>
      <w:pPr>
        <w:pStyle w:val="Sisutekst"/>
        <w:jc w:val="right"/>
        <w:rPr>
          <w:rStyle w:val="Link"/>
          <w:outline w:val="0"/>
          <w:color w:val="333333"/>
          <w:u w:val="none"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851" w:right="1134" w:bottom="851" w:left="1985" w:header="1701" w:footer="85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BM Plex Serif">
    <w:charset w:val="00"/>
    <w:family w:val="roman"/>
    <w:pitch w:val="default"/>
  </w:font>
  <w:font w:name="IBM Plex Sans Regular">
    <w:charset w:val="00"/>
    <w:family w:val="roman"/>
    <w:pitch w:val="default"/>
  </w:font>
  <w:font w:name="IBM Plex Sans 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4393"/>
        <w:tab w:val="right" w:pos="8761"/>
        <w:tab w:val="clear" w:pos="4513"/>
        <w:tab w:val="clear" w:pos="9026"/>
      </w:tabs>
      <w:rPr>
        <w:outline w:val="0"/>
        <w:color w:val="005293"/>
        <w:u w:color="005293"/>
        <w14:textFill>
          <w14:solidFill>
            <w14:srgbClr w14:val="005293"/>
          </w14:solidFill>
        </w14:textFill>
      </w:rPr>
    </w:pPr>
    <w:r>
      <w:rPr>
        <w:outline w:val="0"/>
        <w:color w:val="005293"/>
        <w:u w:color="005293"/>
        <w:rtl w:val="0"/>
        <w:lang w:val="it-IT"/>
        <w14:textFill>
          <w14:solidFill>
            <w14:srgbClr w14:val="005293"/>
          </w14:solidFill>
        </w14:textFill>
      </w:rPr>
      <w:t>Hullo k</w:t>
    </w:r>
    <w:r>
      <w:rPr>
        <w:outline w:val="0"/>
        <w:color w:val="005293"/>
        <w:u w:color="005293"/>
        <w:rtl w:val="0"/>
        <w14:textFill>
          <w14:solidFill>
            <w14:srgbClr w14:val="005293"/>
          </w14:solidFill>
        </w14:textFill>
      </w:rPr>
      <w:t>ü</w:t>
    </w:r>
    <w:r>
      <w:rPr>
        <w:outline w:val="0"/>
        <w:color w:val="005293"/>
        <w:u w:color="005293"/>
        <w:rtl w:val="0"/>
        <w:lang w:val="en-US"/>
        <w14:textFill>
          <w14:solidFill>
            <w14:srgbClr w14:val="005293"/>
          </w14:solidFill>
        </w14:textFill>
      </w:rPr>
      <w:t>la, Vormsi vald</w:t>
      <w:tab/>
      <w:t xml:space="preserve">E-post: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"mailto:vv@vormsi.ee"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nl-NL"/>
      </w:rPr>
      <w:t>vv@vormsi.ee</w:t>
    </w:r>
    <w:r>
      <w:rPr/>
      <w:fldChar w:fldCharType="end" w:fldLock="0"/>
    </w:r>
    <w:r>
      <w:rPr>
        <w:outline w:val="0"/>
        <w:color w:val="005293"/>
        <w:u w:color="005293"/>
        <w:rtl w:val="0"/>
        <w14:textFill>
          <w14:solidFill>
            <w14:srgbClr w14:val="005293"/>
          </w14:solidFill>
        </w14:textFill>
      </w:rPr>
      <w:tab/>
      <w:t>IBAN: EE702200001120170356</w:t>
    </w:r>
    <w:r>
      <w:rPr>
        <w:outline w:val="0"/>
        <w:color w:val="005293"/>
        <w:u w:color="005293"/>
        <w14:textFill>
          <w14:solidFill>
            <w14:srgbClr w14:val="005293"/>
          </w14:solidFill>
        </w14:textFill>
      </w:rPr>
      <w:br w:type="textWrapping"/>
    </w:r>
    <w:r>
      <w:rPr>
        <w:outline w:val="0"/>
        <w:color w:val="005293"/>
        <w:u w:color="005293"/>
        <w:rtl w:val="0"/>
        <w14:textFill>
          <w14:solidFill>
            <w14:srgbClr w14:val="005293"/>
          </w14:solidFill>
        </w14:textFill>
      </w:rPr>
      <w:t>91301, L</w:t>
    </w:r>
    <w:r>
      <w:rPr>
        <w:outline w:val="0"/>
        <w:color w:val="005293"/>
        <w:u w:color="005293"/>
        <w:rtl w:val="0"/>
        <w14:textFill>
          <w14:solidFill>
            <w14:srgbClr w14:val="005293"/>
          </w14:solidFill>
        </w14:textFill>
      </w:rPr>
      <w:t>ää</w:t>
    </w:r>
    <w:r>
      <w:rPr>
        <w:outline w:val="0"/>
        <w:color w:val="005293"/>
        <w:u w:color="005293"/>
        <w:rtl w:val="0"/>
        <w14:textFill>
          <w14:solidFill>
            <w14:srgbClr w14:val="005293"/>
          </w14:solidFill>
        </w14:textFill>
      </w:rPr>
      <w:t xml:space="preserve">nemaa </w:t>
      <w:tab/>
      <w:t>Tel: (+372) 52 96</w:t>
    </w:r>
    <w:r>
      <w:rPr>
        <w:outline w:val="0"/>
        <w:color w:val="005293"/>
        <w:u w:color="005293"/>
        <w:rtl w:val="0"/>
        <w14:textFill>
          <w14:solidFill>
            <w14:srgbClr w14:val="005293"/>
          </w14:solidFill>
        </w14:textFill>
      </w:rPr>
      <w:t> </w:t>
    </w:r>
    <w:r>
      <w:rPr>
        <w:outline w:val="0"/>
        <w:color w:val="005293"/>
        <w:u w:color="005293"/>
        <w:rtl w:val="0"/>
        <w14:textFill>
          <w14:solidFill>
            <w14:srgbClr w14:val="005293"/>
          </w14:solidFill>
        </w14:textFill>
      </w:rPr>
      <w:t>31</w:t>
      <w:tab/>
      <w:t>Rg.kood: 75022427</w:t>
    </w:r>
  </w:p>
  <w:p>
    <w:pPr>
      <w:pStyle w:val="footer"/>
      <w:tabs>
        <w:tab w:val="center" w:pos="4393"/>
        <w:tab w:val="right" w:pos="8761"/>
        <w:tab w:val="clear" w:pos="4513"/>
        <w:tab w:val="clear" w:pos="9026"/>
      </w:tabs>
    </w:pPr>
    <w:r>
      <w:rPr>
        <w:outline w:val="0"/>
        <w:color w:val="005293"/>
        <w:u w:color="005293"/>
        <w14:textFill>
          <w14:solidFill>
            <w14:srgbClr w14:val="005293"/>
          </w14:solidFill>
        </w14:textFill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761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7560310" cy="1619886"/>
          <wp:effectExtent l="0" t="0" r="0" b="0"/>
          <wp:wrapNone/>
          <wp:docPr id="1073741825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6" descr="Picture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6198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88" w:lineRule="auto"/>
      <w:ind w:left="0" w:right="567" w:firstLine="0"/>
      <w:jc w:val="left"/>
      <w:outlineLvl w:val="9"/>
    </w:pPr>
    <w:rPr>
      <w:rFonts w:ascii="IBM Plex Serif" w:cs="IBM Plex Serif" w:hAnsi="IBM Plex Serif" w:eastAsia="IBM Plex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IBM Plex Serif" w:cs="IBM Plex Serif" w:hAnsi="IBM Plex Serif" w:eastAsia="IBM Plex Serif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14"/>
      <w:szCs w:val="14"/>
      <w:u w:val="none" w:color="333333"/>
      <w:shd w:val="nil" w:color="auto" w:fill="auto"/>
      <w:vertAlign w:val="baseline"/>
      <w:lang w:val="it-IT"/>
      <w14:textFill>
        <w14:solidFill>
          <w14:srgbClr w14:val="333333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5293"/>
      <w:u w:color="005293"/>
      <w14:textFill>
        <w14:solidFill>
          <w14:srgbClr w14:val="005293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567" w:firstLine="0"/>
      <w:jc w:val="left"/>
      <w:outlineLvl w:val="9"/>
    </w:pPr>
    <w:rPr>
      <w:rFonts w:ascii="IBM Plex Serif" w:cs="IBM Plex Serif" w:hAnsi="IBM Plex Serif" w:eastAsia="IBM Plex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isutekst">
    <w:name w:val="Sisutekst"/>
    <w:next w:val="Sisu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288" w:lineRule="auto"/>
      <w:ind w:left="0" w:right="567" w:firstLine="0"/>
      <w:jc w:val="left"/>
      <w:outlineLvl w:val="9"/>
    </w:pPr>
    <w:rPr>
      <w:rFonts w:ascii="IBM Plex Serif" w:cs="IBM Plex Serif" w:hAnsi="IBM Plex Serif" w:eastAsia="IBM Plex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